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Justice Without Borders</w:t>
      </w:r>
    </w:p>
    <w:p>
      <w:r>
        <w:t>The EU Commission’s Responsibility for Human and Children’s Rights in Eastern Europe – A Dialogue with the Scandinavian Countries</w:t>
      </w:r>
    </w:p>
    <w:p>
      <w:r>
        <w:t>9–11 December 2025 | Svenska Mässan, Gothenburg | Timezone: Europe/Oslo</w:t>
      </w:r>
    </w:p>
    <w:p>
      <w:pPr>
        <w:pStyle w:val="Heading2"/>
      </w:pPr>
      <w:r>
        <w:t>Full Description</w:t>
      </w:r>
    </w:p>
    <w:p>
      <w:r>
        <w:t>This event addresses serious shortcomings in the EU’s handling of human rights, with a particular focus on the protection of children and vulnerable individuals in Eastern Europe. In many parts of this region, there is no local embassy presence, even though multiple countries depend on the same centralized representation. This means that individuals in need of legal or social support may find themselves without any access to help—not just in one country, but across several ...</w:t>
        <w:br/>
        <w:br/>
        <w:t>Language barriers, a lack of interpretation services, and unclear institutional responsibilities further complicate the situation. Many individuals facing legal or bureaucratic challenges are left in limbo, with long-term psychological consequences—especially for those already in vulnerable positions.</w:t>
        <w:br/>
        <w:br/>
        <w:t>The event invites open dialogue on how these challenges can be addressed through collaboration between the EU, Eastern European states, and the Scandinavian countries. Special emphasis will be placed on learning from the experiences of representatives from Denmark, Norway, Sweden, Finland, and even Iceland—countries with distinct approaches to human rights, social support, and legal systems. By creating clearer discussions on how these countries approach institutional accountability and support, we ...</w:t>
        <w:br/>
        <w:br/>
        <w:t>We will explore how to ensure that qualified and empathetic individuals are placed in the right institutional roles, and how access to justice, local support, and human rights protections can be strengthened—regardless of national borders or language.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